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CE4092">
      <w:pPr>
        <w:pStyle w:val="5"/>
        <w:pageBreakBefore w:val="0"/>
        <w:widowControl w:val="0"/>
        <w:numPr>
          <w:ilvl w:val="4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left="0" w:leftChars="0" w:firstLine="643" w:firstLineChars="200"/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1.技术要求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（实质性要求）</w:t>
      </w:r>
    </w:p>
    <w:tbl>
      <w:tblPr>
        <w:tblStyle w:val="3"/>
        <w:tblW w:w="492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1660"/>
        <w:gridCol w:w="3986"/>
        <w:gridCol w:w="1939"/>
      </w:tblGrid>
      <w:tr w14:paraId="3DD39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C8A09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序号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C7532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采购名称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3E7A3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</w:p>
        </w:tc>
        <w:tc>
          <w:tcPr>
            <w:tcW w:w="11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E5CE1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规格</w:t>
            </w:r>
          </w:p>
        </w:tc>
      </w:tr>
      <w:tr w14:paraId="5BB29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33459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CF2DD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工业氮气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6A72D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3688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40L/瓶</w:t>
            </w:r>
          </w:p>
        </w:tc>
      </w:tr>
      <w:tr w14:paraId="56F1F5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7077B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2C75A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高纯氮气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A11E0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87FC5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40L/瓶</w:t>
            </w:r>
          </w:p>
        </w:tc>
      </w:tr>
      <w:tr w14:paraId="49164D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F027A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1E2A0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高纯氦气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AE640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16C1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40L/瓶</w:t>
            </w:r>
          </w:p>
        </w:tc>
      </w:tr>
      <w:tr w14:paraId="243BEC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EECE1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DBAF8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高纯乙炔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EADFE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99.5%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5A2FF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2kg</w:t>
            </w:r>
          </w:p>
        </w:tc>
      </w:tr>
      <w:tr w14:paraId="6C5374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D2161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5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1A3E6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二氧化碳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E1BE2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6A73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</w:t>
            </w:r>
          </w:p>
        </w:tc>
      </w:tr>
      <w:tr w14:paraId="760C5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0EDFC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6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660E0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氩气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99E65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371A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</w:t>
            </w:r>
          </w:p>
        </w:tc>
      </w:tr>
      <w:tr w14:paraId="032849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015C59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7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77A4B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高纯氩气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45AF9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5AC83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50L</w:t>
            </w:r>
          </w:p>
        </w:tc>
      </w:tr>
      <w:tr w14:paraId="62B214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3B8CF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8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E3E4B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干燥空气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1EC45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空气(21%02,其余为N2)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7D562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50L</w:t>
            </w:r>
          </w:p>
        </w:tc>
      </w:tr>
      <w:tr w14:paraId="77F41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D66F7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</w:t>
            </w:r>
          </w:p>
        </w:tc>
        <w:tc>
          <w:tcPr>
            <w:tcW w:w="9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85BF8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高纯氮气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73B6C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9DCED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50L</w:t>
            </w:r>
          </w:p>
        </w:tc>
      </w:tr>
      <w:tr w14:paraId="6CFF17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D7004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10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87E5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甲烷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82EB3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E387AB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8L</w:t>
            </w:r>
          </w:p>
        </w:tc>
      </w:tr>
      <w:tr w14:paraId="60C75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FA8E3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11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88177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氢气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674B0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3D9D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</w:t>
            </w:r>
          </w:p>
        </w:tc>
      </w:tr>
      <w:tr w14:paraId="2E394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C05D7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12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BD91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氧气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0502A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60F8F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</w:t>
            </w:r>
          </w:p>
        </w:tc>
      </w:tr>
      <w:tr w14:paraId="0A2375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2862F4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13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CAC34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一氧化碳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0F16CA">
            <w:pPr>
              <w:pStyle w:val="7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纯度</w:t>
            </w:r>
            <w:r>
              <w:rPr>
                <w:rFonts w:hint="default" w:ascii="Arial" w:hAnsi="Arial" w:eastAsia="仿宋_GB2312" w:cs="Arial"/>
                <w:color w:val="36363D"/>
                <w:kern w:val="0"/>
                <w:sz w:val="18"/>
                <w:szCs w:val="18"/>
                <w:highlight w:val="none"/>
                <w:lang w:val="en-US" w:eastAsia="zh-CN"/>
              </w:rPr>
              <w:t>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99.999%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18FE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40L</w:t>
            </w:r>
          </w:p>
        </w:tc>
      </w:tr>
      <w:tr w14:paraId="53B268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C1F3E">
            <w:pPr>
              <w:pStyle w:val="7"/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14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B4F4E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109671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氮气（含1.5%氢气）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BAD8C8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  <w:tr w14:paraId="5324C3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7DF48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15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A3B6C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7AAC65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苯、甲醇、乙醛、环氧乙烷、氯乙烯每组份5ppm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1B2BE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  <w:tr w14:paraId="7775A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D58F91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16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0FED39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40358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甲烷 ,按需求配比，余二氧化碳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BA48A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  <w:tr w14:paraId="181366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B904A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17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D3C6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32522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硫化氢、氧硫化碳4.92-5.0*10-6余 二氧化碳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85C411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  <w:tr w14:paraId="744B28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75A79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18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EC15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59E4D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一氧化碳、二氧化碳、甲烷, 0.996-1.04*10-6 （1ppm），余氮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B1030"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  <w:tr w14:paraId="3C9D37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BB7D2">
            <w:pPr>
              <w:pStyle w:val="7"/>
              <w:jc w:val="center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  <w:t>19</w:t>
            </w:r>
          </w:p>
        </w:tc>
        <w:tc>
          <w:tcPr>
            <w:tcW w:w="1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7FE83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仿宋_GB2312" w:hAnsi="仿宋_GB2312" w:eastAsia="仿宋_GB2312" w:cs="仿宋_GB2312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标气</w:t>
            </w:r>
          </w:p>
        </w:tc>
        <w:tc>
          <w:tcPr>
            <w:tcW w:w="2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C032E6">
            <w:pPr>
              <w:pStyle w:val="2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rPr>
                <w:rFonts w:hint="eastAsia" w:ascii="仿宋_GB2312" w:hAnsi="仿宋_GB2312" w:eastAsia="仿宋_GB2312" w:cs="仿宋_GB2312"/>
                <w:kern w:val="2"/>
                <w:sz w:val="24"/>
                <w:szCs w:val="32"/>
                <w:highlight w:val="none"/>
                <w:lang w:val="en-US" w:eastAsia="zh-CN" w:bidi="ar-SA"/>
              </w:rPr>
            </w:pPr>
            <w:r>
              <w:rPr>
                <w:rFonts w:ascii="仿宋_GB2312" w:hAnsi="仿宋_GB2312" w:eastAsia="仿宋_GB2312" w:cs="仿宋_GB2312"/>
                <w:i w:val="0"/>
                <w:iCs w:val="0"/>
                <w:caps w:val="0"/>
                <w:color w:val="333333"/>
                <w:spacing w:val="0"/>
                <w:kern w:val="2"/>
                <w:sz w:val="24"/>
                <w:szCs w:val="32"/>
                <w:highlight w:val="none"/>
                <w:shd w:val="clear" w:fill="FFFFFF"/>
                <w:lang w:bidi="ar-SA"/>
              </w:rPr>
              <w:t>二氧化硫 ,4.91*10-6 （5ppm）余 二氧化碳</w:t>
            </w:r>
          </w:p>
        </w:tc>
        <w:tc>
          <w:tcPr>
            <w:tcW w:w="1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D248DF">
            <w:pPr>
              <w:snapToGrid w:val="0"/>
              <w:ind w:left="0" w:leftChars="0" w:right="0" w:rightChars="0" w:firstLine="0" w:firstLineChars="0"/>
              <w:jc w:val="left"/>
              <w:rPr>
                <w:rFonts w:hint="default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32"/>
                <w:highlight w:val="none"/>
                <w:lang w:val="en-US" w:eastAsia="zh-CN"/>
              </w:rPr>
              <w:t>4L</w:t>
            </w:r>
          </w:p>
        </w:tc>
      </w:tr>
    </w:tbl>
    <w:p w14:paraId="357A366B">
      <w:pPr>
        <w:pStyle w:val="7"/>
        <w:rPr>
          <w:rFonts w:hint="default"/>
          <w:highlight w:val="none"/>
          <w:lang w:val="en-US" w:eastAsia="zh-CN"/>
        </w:rPr>
      </w:pPr>
    </w:p>
    <w:p w14:paraId="7145BA3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Lines="50" w:line="560" w:lineRule="exact"/>
        <w:ind w:firstLine="640" w:firstLineChars="200"/>
        <w:jc w:val="left"/>
        <w:outlineLvl w:val="1"/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2.服务及质量要求（实质性要求）</w:t>
      </w:r>
    </w:p>
    <w:p w14:paraId="46DA11DB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2.1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供应商须承诺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所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供气体及钢瓶完全符合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约定的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质量、规格和性能要求。每批次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钢瓶及气体应随附有效合格证。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气瓶的包装标志、颜色标志及定期检验，须分别符合 GB 190（危险货物包装标志）、GB/T 7144（气瓶颜色标志）及 GB/T 13075-2016（气瓶检验）等相关国家标准，且在校验有效期内，校验有效期不得早于气体产品的有效期限。</w:t>
      </w:r>
    </w:p>
    <w:p w14:paraId="6385A0D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若出现任何不符合项，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采购人有权要求供应商负责包换或包修，或选择退货，由此产生的全部费用（包括修理、调换、退货及运输等）均由供应商承担。</w:t>
      </w:r>
    </w:p>
    <w:p w14:paraId="7F7F7DE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2.2供应商应当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具备充足的充装能力与库存，能够满足采购人持续用气需求。</w:t>
      </w:r>
    </w:p>
    <w:p w14:paraId="7451ED1E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2.3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供应商所供气瓶的容器接头，须适配采购人现有各类气体的用气连接方式。</w:t>
      </w:r>
    </w:p>
    <w:p w14:paraId="24D93D9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2.4气瓶应配置RPV保压阀，防止气体用尽以及用气过程中发生倒灌或串气，保障气体品质。</w:t>
      </w:r>
    </w:p>
    <w:p w14:paraId="74C170D8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2.5气瓶应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spacing w:val="0"/>
          <w:sz w:val="32"/>
          <w:szCs w:val="32"/>
          <w:highlight w:val="none"/>
          <w:shd w:val="clear"/>
        </w:rPr>
        <w:t>配备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开放式瓶帽，无需拆卸即可使用，在用气过程中提供持续防护。</w:t>
      </w:r>
    </w:p>
    <w:p w14:paraId="4E676BFC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2.6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供应商须在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气瓶上张贴产品标准警示标签及GHS标签，并提供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对应气体的安全技术说明书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MSDS），确保用气安全。</w:t>
      </w:r>
    </w:p>
    <w:p w14:paraId="5C567C3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560" w:lineRule="exact"/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2.7合同履行期内，供应商应配备专业的技术支持团队，及时响应采购人在气体使用过程中遇到的技术问题，提供远程或现场技术指导服务，响应时间不得超过4小时。</w:t>
      </w:r>
    </w:p>
    <w:p w14:paraId="3FC187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beforeLines="50" w:line="560" w:lineRule="exact"/>
        <w:ind w:left="0" w:leftChars="0" w:firstLine="420" w:firstLineChars="0"/>
        <w:jc w:val="left"/>
        <w:outlineLvl w:val="1"/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_GB2312" w:hAnsi="仿宋_GB2312" w:eastAsia="仿宋_GB2312" w:cs="仿宋_GB2312"/>
          <w:b w:val="0"/>
          <w:bCs w:val="0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商务要求</w:t>
      </w:r>
      <w:r>
        <w:rPr>
          <w:rFonts w:hint="eastAsia" w:ascii="仿宋_GB2312" w:hAnsi="仿宋_GB2312" w:eastAsia="仿宋_GB2312" w:cs="仿宋_GB2312"/>
          <w:color w:val="000000" w:themeColor="text1"/>
          <w:kern w:val="2"/>
          <w:sz w:val="32"/>
          <w:szCs w:val="32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（实质性要求）</w:t>
      </w:r>
    </w:p>
    <w:p w14:paraId="2501D2C5">
      <w:pPr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3.1交货要求：</w:t>
      </w: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按采购人需求分批配送。所供货物须与采购清单在名称、品牌、规格及纯度上完全一致，并在接到通知后24小时内送达采购人指定地点。</w:t>
      </w:r>
    </w:p>
    <w:p w14:paraId="0BFFCD38">
      <w:pPr>
        <w:ind w:firstLine="640" w:firstLineChars="20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t>3.2付款方式：月结。供应商须向采购人提供合法合规的等额发票及所需付款资料；因供应商原因导致付款延迟的，相关责任与损失由供应商自行承担。</w:t>
      </w:r>
    </w:p>
    <w:p w14:paraId="42B471B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 w:cs="Times New Roman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  <w:rPr>
        <w:rFonts w:cs="Times New Roman"/>
      </w:r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5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5102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customStyle="1" w:styleId="5">
    <w:name w:val="标题 5（有编号）（绿盟科技）"/>
    <w:basedOn w:val="6"/>
    <w:next w:val="7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jc w:val="left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6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7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2026-08-17T06:30:15Z</dcterms:created>
  <dc:creator>123</dc:creator>
  <cp:lastModifiedBy>陈玉梅</cp:lastModifiedBy>
  <dcterms:modified xsi:type="dcterms:W3CDTF">2026-08-17T06:30:40Z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eyJoZGlkIjoiMTU1Mjc5ZGZhYjY1MzliNDhiYjNhMDg4ZmU1OGZkMTkiLCJ1c2VySWQiOiIyNTk4Nzg5MDgifQ==</vt:lpwstr>
  </property>
  <property fmtid="{D5CDD505-2E9C-101B-9397-08002B2CF9AE}" pid="4" name="ICV">
    <vt:lpwstr>6D7382C03F1749CDAA4447896FF2490A_12</vt:lpwstr>
  </property>
</Properties>
</file>