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B3BD">
      <w:pPr>
        <w:keepNext/>
        <w:keepLines/>
        <w:pageBreakBefore w:val="0"/>
        <w:widowControl w:val="0"/>
        <w:numPr>
          <w:ilvl w:val="4"/>
          <w:numId w:val="0"/>
        </w:numPr>
        <w:kinsoku/>
        <w:overflowPunct/>
        <w:topLinePunct w:val="0"/>
        <w:autoSpaceDE/>
        <w:autoSpaceDN/>
        <w:bidi w:val="0"/>
        <w:adjustRightInd w:val="0"/>
        <w:spacing w:before="280" w:after="156" w:line="560" w:lineRule="exact"/>
        <w:ind w:left="0" w:leftChars="0" w:firstLine="964" w:firstLineChars="200"/>
        <w:jc w:val="center"/>
        <w:textAlignment w:val="baseline"/>
        <w:outlineLvl w:val="4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highlight w:val="none"/>
          <w:lang w:val="en-US" w:eastAsia="zh-CN" w:bidi="ar-SA"/>
        </w:rPr>
        <w:t>技术参数</w:t>
      </w:r>
    </w:p>
    <w:p w14:paraId="2E4EC61E">
      <w:pPr>
        <w:keepNext/>
        <w:keepLines/>
        <w:pageBreakBefore w:val="0"/>
        <w:widowControl w:val="0"/>
        <w:numPr>
          <w:ilvl w:val="4"/>
          <w:numId w:val="0"/>
        </w:numPr>
        <w:kinsoku/>
        <w:overflowPunct/>
        <w:topLinePunct w:val="0"/>
        <w:autoSpaceDE/>
        <w:autoSpaceDN/>
        <w:bidi w:val="0"/>
        <w:adjustRightInd w:val="0"/>
        <w:spacing w:before="280" w:after="156" w:line="560" w:lineRule="exact"/>
        <w:ind w:left="0" w:leftChars="0" w:firstLine="640" w:firstLineChars="200"/>
        <w:jc w:val="left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注：标注“★”的条款为本项目的实质性要求。标注“▲”的条款为本项目的重要性条款，按照综合评分明细表处理。</w:t>
      </w:r>
    </w:p>
    <w:p w14:paraId="3BD87EAB">
      <w:pPr>
        <w:numPr>
          <w:ilvl w:val="0"/>
          <w:numId w:val="0"/>
        </w:numPr>
        <w:spacing w:line="48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主要用途：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数字PCR系统的用途是对样本进行绝对定量检测。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此次采购设备主要用于：肉制品动物源性成分精准鉴别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食用植物油转基因残留痕量检测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和环境新型生物标志物监测等相关技术的研究开发和检测服务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41D108EC">
      <w:pPr>
        <w:numPr>
          <w:ilvl w:val="0"/>
          <w:numId w:val="0"/>
        </w:numPr>
        <w:spacing w:line="48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技术要求：</w:t>
      </w:r>
    </w:p>
    <w:p w14:paraId="3E02A898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原理：基于油包水反应生成微滴，实现油包水式微滴分割。非纳米芯片微孔板设计，非纳米孔技术等物理分割方式；一次上机最大样本量≥48个（每个样品的微滴数≥15000个。（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 ；</w:t>
      </w:r>
    </w:p>
    <w:p w14:paraId="47D1EE77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一体机设计，上机后全自动封闭式检测，一台仪器完成核酸分区、扩增、成像分析、数据读取所有步骤；</w:t>
      </w:r>
    </w:p>
    <w:p w14:paraId="0AB04F17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设备开机即可使用，无需预热；</w:t>
      </w:r>
    </w:p>
    <w:p w14:paraId="33845CDE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芯片上机前无需人工封膜；</w:t>
      </w:r>
    </w:p>
    <w:p w14:paraId="157B3A63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仓位可实现多板位芯片上机，板位数量≥3，每板位可单独设置扩增程序；</w:t>
      </w:r>
    </w:p>
    <w:p w14:paraId="5F0CA534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一体机内配有机械臂抓手，具备X、Y、Z三轴移动能力：（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46A2AF57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液滴数量:单次实验微滴总数不得低于816000个 ；</w:t>
      </w:r>
    </w:p>
    <w:p w14:paraId="567760C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单板一次运行样品不得低于16个样品（每个样品的微滴数≥15000个）；</w:t>
      </w:r>
    </w:p>
    <w:p w14:paraId="56F86376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样品上样体积小于10uL；可节约珍贵样品；</w:t>
      </w:r>
    </w:p>
    <w:p w14:paraId="723DC7A9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检测方式：具有7个不同波长LED光源独立激发每个样品，，避免荧光交叉干扰，各通道独立检测而非同时检测，有效避免串色对实验结果的干扰，避免出现假阳性。采用CMOS成像检测，非类流式法逐个微滴检测（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335F749F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荧光检测通道数量≥7个，必须适用于EvaGreen、FAM、VIC、HEX、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ATTO550、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ATTO590、ROX、Cy5、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Cy5.5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等荧光染料和探针。（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6D5A9DA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支持每个微滴内至少7种荧光染料的激发与检测；</w:t>
      </w:r>
    </w:p>
    <w:p w14:paraId="20E5DC5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可根据实验需求配置每个通道的启用状态及曝光时间（毫秒级），适配不同荧光探针或染料；</w:t>
      </w:r>
    </w:p>
    <w:p w14:paraId="30B357ED"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拥有不低于11重数据监测能力，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提供证明文件）；</w:t>
      </w:r>
    </w:p>
    <w:p w14:paraId="7446DCDB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定量精度：在95%置信水平下，可实现​&lt;2% 的相对不确定度；​​ </w:t>
      </w:r>
    </w:p>
    <w:p w14:paraId="70BE78C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灵敏度：95%样本检出限（LOD95%）可低至0.3拷贝/μL​；​</w:t>
      </w:r>
    </w:p>
    <w:p w14:paraId="2AB36A9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耗材必须能与自动化液体处理工作站集成，实现全工作流程自动化；</w:t>
      </w:r>
    </w:p>
    <w:p w14:paraId="6613E3E3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整体运行时间：完成48个样品微滴生成（（每个样品的微滴数≥15000个）、PCR反应以及信号检测分析三个步骤总计时间≤2.5h，5小时内完成≥96个样本检测分析；</w:t>
      </w:r>
    </w:p>
    <w:p w14:paraId="43F7F657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一次运行可同时设定≥3 种不同的 PCR 扩增程序（不同的温度设置，不同的循环数设置），程序可自动切换（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0FEDADCF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实验完成后，可低温条件保存，一周之内可支持≥3 次数据反复读取；</w:t>
      </w:r>
    </w:p>
    <w:p w14:paraId="2E9D2BF3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在液滴读取阶段支持实时分析功能，可动态查看液滴检测进度、初步阳性/阴性比例，便于及时发现实验异常（如液滴生成失败、荧光信号异常）（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提供软件截图）；</w:t>
      </w:r>
    </w:p>
    <w:p w14:paraId="324996B0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实验结果：可输出像素分布图、直方图、散点图等分析结果，可在二维散点图上进行自定义高阶群簇的圈门设置，实现高阶多重自动分析功能。（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提供软件截图）；</w:t>
      </w:r>
    </w:p>
    <w:p w14:paraId="6D5E6BF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数据导出：可导出原始数据（.niodata）、分析报告（PDF 格式）及统计数据（如浓度、变异系数CV值），支持与实验室信息管理系统（LIMS）集成；</w:t>
      </w:r>
    </w:p>
    <w:p w14:paraId="69DF210B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参数配置文件：支持加载溢出补偿矩阵（.ncm 文件，校正荧光串扰）、分析配置文件（.nca 文件，定义阈值和种群划分规则）、绘图配置文件（.ncp 文件，自定义图表格式），可保存配置用于重复实验；</w:t>
      </w:r>
    </w:p>
    <w:p w14:paraId="53215D8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样本信息管理：通过 CSV 文件导入样本详情（如 well 位置、名称、类型（阳性对照/ 阴性对照/未知）、稀释因子等），支持按行/列排序的模板导入；</w:t>
      </w:r>
    </w:p>
    <w:p w14:paraId="387B963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可支持排枪直接上样；</w:t>
      </w:r>
    </w:p>
    <w:p w14:paraId="7F2FBB9B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数据分析系统： CPU：i5；内存：≥16G，硬盘：≥512G；彩色液晶显示器：≥21 英寸 </w:t>
      </w:r>
    </w:p>
    <w:p w14:paraId="4098AC58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生产厂家需具有ISO9001认证、ISO13485认证。</w:t>
      </w:r>
    </w:p>
    <w:p w14:paraId="52C93E25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需承诺按照用户制订的验收方法对以上参数响应逐条验收（包括拆机检测核心部件，或者提供核心部件的实物备查），用户可以自己现场检测，也可以由用户指定的具有CMA或者CNAS资质的检测机构进行现场检测，或者送至第三方实验室进行现场检测，检测费用由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承担，如果有一条参数虚假响应，将报同级财政处理，并承担相应的法律责任（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需提供承诺函，格式自拟）。</w:t>
      </w:r>
    </w:p>
    <w:p w14:paraId="1809822D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配置清单</w:t>
      </w:r>
    </w:p>
    <w:p w14:paraId="69B6BBE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数字 PCR 系统主机：1套 </w:t>
      </w:r>
    </w:p>
    <w:p w14:paraId="1EAE6169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分析控制软件：1套</w:t>
      </w:r>
      <w:bookmarkStart w:id="0" w:name="_GoBack"/>
      <w:bookmarkEnd w:id="0"/>
    </w:p>
    <w:p w14:paraId="750F7925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配套试剂耗材：1套</w:t>
      </w:r>
    </w:p>
    <w:p w14:paraId="4224A56E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工作站：1套</w:t>
      </w:r>
    </w:p>
    <w:p w14:paraId="45D2F0D6">
      <w:pPr>
        <w:keepNext/>
        <w:keepLines/>
        <w:pageBreakBefore w:val="0"/>
        <w:widowControl w:val="0"/>
        <w:numPr>
          <w:ilvl w:val="4"/>
          <w:numId w:val="0"/>
        </w:numPr>
        <w:kinsoku/>
        <w:overflowPunct/>
        <w:topLinePunct w:val="0"/>
        <w:autoSpaceDE/>
        <w:autoSpaceDN/>
        <w:bidi w:val="0"/>
        <w:adjustRightInd w:val="0"/>
        <w:spacing w:before="280" w:after="156" w:line="560" w:lineRule="exact"/>
        <w:ind w:left="0" w:leftChars="0" w:firstLine="964" w:firstLineChars="200"/>
        <w:jc w:val="center"/>
        <w:textAlignment w:val="baseline"/>
        <w:outlineLvl w:val="4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674"/>
    <w:rsid w:val="344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1630</Words>
  <Characters>1865</Characters>
  <Lines>0</Lines>
  <Paragraphs>0</Paragraphs>
  <TotalTime>0</TotalTime>
  <ScaleCrop>false</ScaleCrop>
  <LinksUpToDate>false</LinksUpToDate>
  <CharactersWithSpaces>1889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2026-05-07T06:52:00Z</dcterms:created>
  <dc:creator>Administrator</dc:creator>
  <cp:lastModifiedBy>陈玉梅</cp:lastModifiedBy>
  <dcterms:modified xsi:type="dcterms:W3CDTF">2026-05-25T06:22:19Z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eyJoZGlkIjoiNDAwMjgxNTdmYjRlNDQ2OTc4YTA3YmEwYmFhNzQ1NTIiLCJ1c2VySWQiOiIyNTk4Nzg5MDgifQ==</vt:lpwstr>
  </property>
  <property fmtid="{D5CDD505-2E9C-101B-9397-08002B2CF9AE}" pid="4" name="ICV">
    <vt:lpwstr>973CF39816384246968248CB356008AA_12</vt:lpwstr>
  </property>
</Properties>
</file>