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BCE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0D892706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1.1 PSA/Silica复合填料玻璃柱：①适用标准：GB 5009.271-2016 食品安全国家标准 食品中邻苯二甲酸酯的测定等；②规格：500mg/6mL</w:t>
      </w:r>
    </w:p>
    <w:p w14:paraId="54342CED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360" w:lineRule="auto"/>
        <w:ind w:firstLine="480" w:firstLineChars="200"/>
        <w:jc w:val="left"/>
        <w:outlineLvl w:val="2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1.2 HLB固相萃取柱 ：①适用标准：GB 31658.17-2021 食品安全国家标准 动物性食品中四环素类、磺胺类和喹诺酮类药物残留量的测定 液相色谱－串联质谱法等；②规格：200mg/6mL；</w:t>
      </w:r>
    </w:p>
    <w:p w14:paraId="0F09E899">
      <w:pPr>
        <w:numPr>
          <w:ilvl w:val="0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1.3 苯并(a)芘分子印迹柱 ：①适用标准：GB 5009.27-2016 食品安全国家标准 食品中苯并（a）芘的测定等；②规格：500mg/6mL；</w:t>
      </w:r>
    </w:p>
    <w:p w14:paraId="6897ECE7">
      <w:pPr>
        <w:numPr>
          <w:ilvl w:val="0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8"/>
          <w:highlight w:val="none"/>
          <w:lang w:val="en-US" w:eastAsia="zh-CN"/>
        </w:rPr>
        <w:t>1.4 WAX混合型弱阴离子交换反相吸附固相萃取柱（色素）：①适用标准：GB 5009.35-2023 食品安全国家标准 食品中合成着色剂的测定等；②规格：150mg/6mL</w:t>
      </w:r>
    </w:p>
    <w:p w14:paraId="192ED385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41FCF5AE">
      <w:pPr>
        <w:numPr>
          <w:ilvl w:val="-1"/>
          <w:numId w:val="0"/>
        </w:numPr>
        <w:spacing w:line="360" w:lineRule="auto"/>
        <w:ind w:left="630" w:firstLine="0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0B0BFACE"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9FF3A3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月结。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人须向采购人提供合法合规的等额发票及采购人付款所需资料，否则，由此造成的责任、损失由中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人自行承担。</w:t>
      </w:r>
    </w:p>
    <w:tbl>
      <w:tblPr>
        <w:tblStyle w:val="4"/>
        <w:tblpPr w:leftFromText="180" w:rightFromText="180" w:vertAnchor="text" w:horzAnchor="page" w:tblpX="1457" w:tblpY="-357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352"/>
        <w:gridCol w:w="2481"/>
        <w:gridCol w:w="1791"/>
      </w:tblGrid>
      <w:tr w14:paraId="3DDA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预计采购数量</w:t>
            </w:r>
          </w:p>
        </w:tc>
      </w:tr>
      <w:tr w14:paraId="7A26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3C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50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固相萃取柱HLB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6B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FD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7649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6B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CC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固相萃取柱HLB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2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60mg/3mL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F3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1000支</w:t>
            </w:r>
          </w:p>
        </w:tc>
      </w:tr>
      <w:tr w14:paraId="50C5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7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E2E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固相萃取柱HLB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BC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F0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01A7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D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65A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固相萃取柱C18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B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500mg/3mL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85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147D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664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51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固相萃取柱C18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6E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3B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1F5C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33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25A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Cleanert TPT1）固相萃取柱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C6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 g/10 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33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60BE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6C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D1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MAX：阴离子交换柱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75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60mg/3mL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7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7D38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C89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837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MCX阳离子交换固相萃取柱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32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60mg/3mL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C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1978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F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D5E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Silica柱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74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40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0966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5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E22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WAX混合型弱阴离子交换柱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2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36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2C8D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13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B6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氨基固相萃取柱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3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70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0640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F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78C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中性氧化铝柱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E3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66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300支</w:t>
            </w:r>
          </w:p>
        </w:tc>
      </w:tr>
      <w:tr w14:paraId="4F5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A2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76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中性氧化铝柱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0A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65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7553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D38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519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展青霉素固相净化柱混合填料净化柱 MycosepTM228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9E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\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3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632C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D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68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混合阴离子(PXA)固相萃取柱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85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13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77C2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1B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9E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苯并(a)芘分子印迹柱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72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C3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2000支</w:t>
            </w:r>
          </w:p>
        </w:tc>
      </w:tr>
      <w:tr w14:paraId="2A21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DC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CB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固相萃取柱1:氨基填料；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61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6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0D80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B6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60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固相萃取柱2:石墨化炭黑填料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2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32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150支</w:t>
            </w:r>
          </w:p>
        </w:tc>
      </w:tr>
      <w:tr w14:paraId="3CE4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EC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8E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混合型阳离子交换固相萃取柱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E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60mg/3mL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4B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600支</w:t>
            </w:r>
          </w:p>
        </w:tc>
      </w:tr>
      <w:tr w14:paraId="00CE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6E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D5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WAX混合型弱阴离子交换反相吸附固相萃取柱（色素）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9C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150mg/6mL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9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2000支</w:t>
            </w:r>
          </w:p>
        </w:tc>
      </w:tr>
      <w:bookmarkEnd w:id="0"/>
    </w:tbl>
    <w:p w14:paraId="1C4661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75B9"/>
    <w:rsid w:val="42E4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523</Characters>
  <Lines>0</Lines>
  <Paragraphs>0</Paragraphs>
  <TotalTime>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2026-03-12T01:05:00Z</dcterms:created>
  <dc:creator>123</dc:creator>
  <cp:lastModifiedBy>陈玉梅</cp:lastModifiedBy>
  <dcterms:modified xsi:type="dcterms:W3CDTF">2026-03-12T06:46:45Z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EDE71DE1C8AE4120A9ECB892CFF1DECB_12</vt:lpwstr>
  </property>
</Properties>
</file>