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DE6C9">
      <w:pPr>
        <w:numPr>
          <w:ilvl w:val="0"/>
          <w:numId w:val="1"/>
        </w:numPr>
        <w:ind w:left="208" w:firstLine="422" w:firstLineChars="0"/>
        <w:rPr>
          <w:rFonts w:hint="eastAsia" w:ascii="仿宋_GB2312" w:hAnsi="仿宋_GB2312" w:eastAsia="仿宋_GB2312" w:cs="仿宋_GB2312"/>
          <w:b/>
          <w:kern w:val="0"/>
          <w:sz w:val="24"/>
          <w:szCs w:val="28"/>
          <w:highlight w:val="none"/>
          <w:lang w:val="en-US" w:eastAsia="zh-CN"/>
        </w:rPr>
      </w:pPr>
      <w:r>
        <w:rPr>
          <w:rFonts w:hint="eastAsia" w:ascii="仿宋_GB2312" w:hAnsi="仿宋_GB2312" w:eastAsia="仿宋_GB2312" w:cs="仿宋_GB2312"/>
          <w:b/>
          <w:kern w:val="0"/>
          <w:sz w:val="24"/>
          <w:szCs w:val="28"/>
          <w:highlight w:val="none"/>
          <w:lang w:val="en-US" w:eastAsia="zh-CN"/>
        </w:rPr>
        <w:t>仪器设备基本要求</w:t>
      </w:r>
    </w:p>
    <w:p w14:paraId="7A8D632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说明：（★标志为核心参数，▲为关键参数）</w:t>
      </w:r>
    </w:p>
    <w:p w14:paraId="28EBE9B7">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1.1杜马斯定氮仪（燃烧法定氮仪）技术指标</w:t>
      </w:r>
    </w:p>
    <w:tbl>
      <w:tblPr>
        <w:tblStyle w:val="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754"/>
        <w:gridCol w:w="806"/>
        <w:gridCol w:w="6129"/>
      </w:tblGrid>
      <w:tr w14:paraId="2F44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14:paraId="07CCC0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项目</w:t>
            </w:r>
          </w:p>
        </w:tc>
        <w:tc>
          <w:tcPr>
            <w:tcW w:w="754" w:type="dxa"/>
            <w:tcBorders>
              <w:top w:val="single" w:color="auto" w:sz="4" w:space="0"/>
              <w:left w:val="single" w:color="auto" w:sz="4" w:space="0"/>
              <w:bottom w:val="single" w:color="auto" w:sz="4" w:space="0"/>
              <w:right w:val="single" w:color="auto" w:sz="4" w:space="0"/>
            </w:tcBorders>
            <w:vAlign w:val="center"/>
          </w:tcPr>
          <w:p w14:paraId="361E7B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eastAsia="zh-CN"/>
              </w:rPr>
              <w:t>指标类型</w:t>
            </w:r>
          </w:p>
        </w:tc>
        <w:tc>
          <w:tcPr>
            <w:tcW w:w="806" w:type="dxa"/>
            <w:tcBorders>
              <w:top w:val="single" w:color="auto" w:sz="4" w:space="0"/>
              <w:left w:val="single" w:color="auto" w:sz="4" w:space="0"/>
              <w:bottom w:val="single" w:color="auto" w:sz="4" w:space="0"/>
              <w:right w:val="single" w:color="auto" w:sz="4" w:space="0"/>
            </w:tcBorders>
            <w:vAlign w:val="center"/>
          </w:tcPr>
          <w:p w14:paraId="601A1A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eastAsia="zh-CN"/>
              </w:rPr>
              <w:t>条款编号</w:t>
            </w:r>
          </w:p>
        </w:tc>
        <w:tc>
          <w:tcPr>
            <w:tcW w:w="6129" w:type="dxa"/>
            <w:tcBorders>
              <w:top w:val="single" w:color="auto" w:sz="4" w:space="0"/>
              <w:left w:val="single" w:color="auto" w:sz="4" w:space="0"/>
              <w:bottom w:val="single" w:color="auto" w:sz="4" w:space="0"/>
              <w:right w:val="single" w:color="auto" w:sz="4" w:space="0"/>
            </w:tcBorders>
            <w:vAlign w:val="center"/>
          </w:tcPr>
          <w:p w14:paraId="1D2289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rPr>
              <w:t>功能和质量要求（指标）</w:t>
            </w:r>
          </w:p>
        </w:tc>
      </w:tr>
      <w:tr w14:paraId="4C7D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14:paraId="424417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1.主要用途</w:t>
            </w:r>
          </w:p>
        </w:tc>
        <w:tc>
          <w:tcPr>
            <w:tcW w:w="754" w:type="dxa"/>
            <w:tcBorders>
              <w:top w:val="single" w:color="auto" w:sz="4" w:space="0"/>
              <w:left w:val="single" w:color="auto" w:sz="4" w:space="0"/>
              <w:bottom w:val="single" w:color="auto" w:sz="4" w:space="0"/>
              <w:right w:val="single" w:color="auto" w:sz="4" w:space="0"/>
            </w:tcBorders>
            <w:vAlign w:val="center"/>
          </w:tcPr>
          <w:p w14:paraId="2148CD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5E666D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1</w:t>
            </w:r>
          </w:p>
        </w:tc>
        <w:tc>
          <w:tcPr>
            <w:tcW w:w="6129" w:type="dxa"/>
            <w:tcBorders>
              <w:top w:val="single" w:color="auto" w:sz="4" w:space="0"/>
              <w:left w:val="single" w:color="auto" w:sz="4" w:space="0"/>
              <w:bottom w:val="single" w:color="auto" w:sz="4" w:space="0"/>
              <w:right w:val="single" w:color="auto" w:sz="4" w:space="0"/>
            </w:tcBorders>
            <w:vAlign w:val="center"/>
          </w:tcPr>
          <w:p w14:paraId="791C8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Style w:val="6"/>
                <w:rFonts w:hint="eastAsia" w:ascii="方正仿宋_GB2312" w:hAnsi="方正仿宋_GB2312" w:eastAsia="方正仿宋_GB2312" w:cs="方正仿宋_GB2312"/>
                <w:color w:val="auto"/>
                <w:sz w:val="24"/>
                <w:szCs w:val="24"/>
                <w:highlight w:val="none"/>
                <w:lang w:val="en-US" w:eastAsia="zh-CN" w:bidi="ar"/>
              </w:rPr>
              <w:t>杜马斯燃烧法定氮仪是通过燃烧、净化、还原、热导检测等步骤，进行相关样品中氮/蛋白质测量的检测设备。</w:t>
            </w:r>
          </w:p>
        </w:tc>
      </w:tr>
      <w:tr w14:paraId="56AE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restart"/>
            <w:tcBorders>
              <w:top w:val="single" w:color="auto" w:sz="4" w:space="0"/>
              <w:left w:val="single" w:color="auto" w:sz="4" w:space="0"/>
              <w:bottom w:val="single" w:color="auto" w:sz="4" w:space="0"/>
              <w:right w:val="single" w:color="auto" w:sz="4" w:space="0"/>
            </w:tcBorders>
            <w:vAlign w:val="center"/>
          </w:tcPr>
          <w:p w14:paraId="68138C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2.适用标准</w:t>
            </w:r>
          </w:p>
        </w:tc>
        <w:tc>
          <w:tcPr>
            <w:tcW w:w="754" w:type="dxa"/>
            <w:tcBorders>
              <w:top w:val="single" w:color="auto" w:sz="4" w:space="0"/>
              <w:left w:val="single" w:color="auto" w:sz="4" w:space="0"/>
              <w:bottom w:val="single" w:color="auto" w:sz="4" w:space="0"/>
              <w:right w:val="single" w:color="auto" w:sz="4" w:space="0"/>
            </w:tcBorders>
            <w:vAlign w:val="center"/>
          </w:tcPr>
          <w:p w14:paraId="2CBF88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369F5F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2.1</w:t>
            </w:r>
          </w:p>
        </w:tc>
        <w:tc>
          <w:tcPr>
            <w:tcW w:w="6129" w:type="dxa"/>
            <w:tcBorders>
              <w:top w:val="single" w:color="auto" w:sz="4" w:space="0"/>
              <w:left w:val="single" w:color="auto" w:sz="4" w:space="0"/>
              <w:bottom w:val="single" w:color="auto" w:sz="4" w:space="0"/>
              <w:right w:val="single" w:color="auto" w:sz="4" w:space="0"/>
            </w:tcBorders>
            <w:vAlign w:val="center"/>
          </w:tcPr>
          <w:p w14:paraId="53CAA3F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GB 29518-2013《柴油发动机氮氧化物还原剂 尿素水溶液（AUS 32）》</w:t>
            </w:r>
          </w:p>
        </w:tc>
      </w:tr>
      <w:tr w14:paraId="2142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top w:val="single" w:color="auto" w:sz="4" w:space="0"/>
              <w:left w:val="single" w:color="auto" w:sz="4" w:space="0"/>
              <w:right w:val="single" w:color="auto" w:sz="4" w:space="0"/>
            </w:tcBorders>
            <w:vAlign w:val="center"/>
          </w:tcPr>
          <w:p w14:paraId="3A19F7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4AB37F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353D9B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2.2</w:t>
            </w:r>
          </w:p>
        </w:tc>
        <w:tc>
          <w:tcPr>
            <w:tcW w:w="6129" w:type="dxa"/>
            <w:tcBorders>
              <w:top w:val="single" w:color="auto" w:sz="4" w:space="0"/>
              <w:left w:val="single" w:color="auto" w:sz="4" w:space="0"/>
              <w:bottom w:val="single" w:color="auto" w:sz="4" w:space="0"/>
              <w:right w:val="single" w:color="auto" w:sz="4" w:space="0"/>
            </w:tcBorders>
            <w:vAlign w:val="center"/>
          </w:tcPr>
          <w:p w14:paraId="02C5863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符合食品、肥料、饲料等国内外相关检测标准（列举不少于5条）</w:t>
            </w:r>
          </w:p>
        </w:tc>
      </w:tr>
      <w:tr w14:paraId="0467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restart"/>
            <w:tcBorders>
              <w:left w:val="single" w:color="auto" w:sz="4" w:space="0"/>
              <w:right w:val="single" w:color="auto" w:sz="4" w:space="0"/>
            </w:tcBorders>
            <w:vAlign w:val="center"/>
          </w:tcPr>
          <w:p w14:paraId="3D7B9D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3.主要参数</w:t>
            </w:r>
          </w:p>
        </w:tc>
        <w:tc>
          <w:tcPr>
            <w:tcW w:w="754" w:type="dxa"/>
            <w:tcBorders>
              <w:top w:val="single" w:color="auto" w:sz="4" w:space="0"/>
              <w:left w:val="single" w:color="auto" w:sz="4" w:space="0"/>
              <w:bottom w:val="single" w:color="auto" w:sz="4" w:space="0"/>
              <w:right w:val="single" w:color="auto" w:sz="4" w:space="0"/>
            </w:tcBorders>
            <w:vAlign w:val="center"/>
          </w:tcPr>
          <w:p w14:paraId="0860A5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78192F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3.1</w:t>
            </w:r>
          </w:p>
        </w:tc>
        <w:tc>
          <w:tcPr>
            <w:tcW w:w="6129" w:type="dxa"/>
            <w:tcBorders>
              <w:top w:val="single" w:color="auto" w:sz="4" w:space="0"/>
              <w:left w:val="single" w:color="auto" w:sz="4" w:space="0"/>
              <w:bottom w:val="single" w:color="auto" w:sz="4" w:space="0"/>
              <w:right w:val="single" w:color="auto" w:sz="4" w:space="0"/>
            </w:tcBorders>
            <w:vAlign w:val="center"/>
          </w:tcPr>
          <w:p w14:paraId="74E6F27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气路气密性</w:t>
            </w:r>
          </w:p>
          <w:p w14:paraId="10C35606">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载气气路密封性：</w:t>
            </w:r>
          </w:p>
          <w:p w14:paraId="2881C8C4">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二氧化碳、氦气或氩气作载气时，在规定工作压力下，10min压力下降不大于0.01MPa。</w:t>
            </w:r>
          </w:p>
          <w:p w14:paraId="0CD367E5">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氧气气路密封性：</w:t>
            </w:r>
          </w:p>
          <w:p w14:paraId="15DAA8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在规定工作压力下，10min压力下降不大于0.01MPa。</w:t>
            </w:r>
          </w:p>
        </w:tc>
      </w:tr>
      <w:tr w14:paraId="5FFA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3CD46C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5CA247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002204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3.2</w:t>
            </w:r>
          </w:p>
        </w:tc>
        <w:tc>
          <w:tcPr>
            <w:tcW w:w="6129" w:type="dxa"/>
            <w:tcBorders>
              <w:top w:val="single" w:color="auto" w:sz="4" w:space="0"/>
              <w:left w:val="single" w:color="auto" w:sz="4" w:space="0"/>
              <w:bottom w:val="single" w:color="auto" w:sz="4" w:space="0"/>
              <w:right w:val="single" w:color="auto" w:sz="4" w:space="0"/>
            </w:tcBorders>
            <w:vAlign w:val="center"/>
          </w:tcPr>
          <w:p w14:paraId="4B1338E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载气：推荐使用：使用二氧化碳做载气；</w:t>
            </w:r>
          </w:p>
        </w:tc>
      </w:tr>
      <w:tr w14:paraId="10B9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515AD8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6B0C39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9E3BB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3.3</w:t>
            </w:r>
          </w:p>
        </w:tc>
        <w:tc>
          <w:tcPr>
            <w:tcW w:w="6129" w:type="dxa"/>
            <w:tcBorders>
              <w:top w:val="single" w:color="auto" w:sz="4" w:space="0"/>
              <w:left w:val="single" w:color="auto" w:sz="4" w:space="0"/>
              <w:bottom w:val="single" w:color="auto" w:sz="4" w:space="0"/>
              <w:right w:val="single" w:color="auto" w:sz="4" w:space="0"/>
            </w:tcBorders>
            <w:vAlign w:val="center"/>
          </w:tcPr>
          <w:p w14:paraId="096267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温控要求</w:t>
            </w:r>
          </w:p>
          <w:p w14:paraId="6065F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热导检测器(以下简称TCD)控温：</w:t>
            </w:r>
          </w:p>
          <w:p w14:paraId="686214AD">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设定温度为40℃~70℃；（包含该范围即可）</w:t>
            </w:r>
          </w:p>
          <w:p w14:paraId="2EE74FF8">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控温准确度：不超过±0.1℃;</w:t>
            </w:r>
          </w:p>
          <w:p w14:paraId="70115F02">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控温波动性：均不大于0.1℃。</w:t>
            </w:r>
          </w:p>
          <w:p w14:paraId="5021F73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燃烧炉控温：</w:t>
            </w:r>
          </w:p>
          <w:p w14:paraId="6564F21E">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设定温度：900°C~1100°C，（包含该范围即可）</w:t>
            </w:r>
          </w:p>
          <w:p w14:paraId="342D9B6C">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控温准确度：不超过±5°C</w:t>
            </w:r>
          </w:p>
          <w:p w14:paraId="2C72E52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控温波动性：均不大于5°C</w:t>
            </w:r>
          </w:p>
        </w:tc>
      </w:tr>
      <w:tr w14:paraId="4FE5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6A92D3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B14FD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F21AD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3.4</w:t>
            </w:r>
          </w:p>
        </w:tc>
        <w:tc>
          <w:tcPr>
            <w:tcW w:w="6129" w:type="dxa"/>
            <w:tcBorders>
              <w:top w:val="single" w:color="auto" w:sz="4" w:space="0"/>
              <w:left w:val="single" w:color="auto" w:sz="4" w:space="0"/>
              <w:bottom w:val="single" w:color="auto" w:sz="4" w:space="0"/>
              <w:right w:val="single" w:color="auto" w:sz="4" w:space="0"/>
            </w:tcBorders>
            <w:vAlign w:val="center"/>
          </w:tcPr>
          <w:p w14:paraId="01DCBDD6">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TCD参数要求：</w:t>
            </w:r>
          </w:p>
          <w:p w14:paraId="5C77DAC8">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基线噪声：不大于0.1mV</w:t>
            </w:r>
          </w:p>
          <w:p w14:paraId="5AEA5EA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基线漂移：不大于0.2mV/30min</w:t>
            </w:r>
          </w:p>
          <w:p w14:paraId="61713FC4">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灵敏度：不小于2000mV·mL/mg</w:t>
            </w:r>
          </w:p>
          <w:p w14:paraId="0C2FD780">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示值误差：不超过±1.0%</w:t>
            </w:r>
          </w:p>
          <w:p w14:paraId="5F4917A8">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重现性（RSD）：≤0.5%</w:t>
            </w:r>
          </w:p>
          <w:p w14:paraId="515B547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检测回收率≥99.5%（150mg的10%氮标样品）</w:t>
            </w:r>
          </w:p>
        </w:tc>
      </w:tr>
      <w:tr w14:paraId="20FD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732876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1000E9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AF64C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3.5</w:t>
            </w:r>
          </w:p>
        </w:tc>
        <w:tc>
          <w:tcPr>
            <w:tcW w:w="6129" w:type="dxa"/>
            <w:tcBorders>
              <w:top w:val="single" w:color="auto" w:sz="4" w:space="0"/>
              <w:left w:val="single" w:color="auto" w:sz="4" w:space="0"/>
              <w:bottom w:val="single" w:color="auto" w:sz="4" w:space="0"/>
              <w:right w:val="single" w:color="auto" w:sz="4" w:space="0"/>
            </w:tcBorders>
            <w:vAlign w:val="center"/>
          </w:tcPr>
          <w:p w14:paraId="775B2227">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设备安全：</w:t>
            </w:r>
          </w:p>
          <w:p w14:paraId="1946E8C1">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保护接地</w:t>
            </w:r>
          </w:p>
          <w:p w14:paraId="4972AA6F">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仪器的保护接地电阻值应不大于0.1Ω</w:t>
            </w:r>
          </w:p>
          <w:p w14:paraId="7716882E">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接触电流</w:t>
            </w:r>
          </w:p>
          <w:p w14:paraId="79F50673">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在正常工作条件下，仪器的接触电流应不大于0.5mA</w:t>
            </w:r>
          </w:p>
          <w:p w14:paraId="117CF916">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介电强度</w:t>
            </w:r>
          </w:p>
          <w:p w14:paraId="2BE30F8B">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在正常工作条件下，仪器能承受1500V交流有效值连续1min的电压试验，不出现击穿或飞弧现象。电晕效应和类似效应可忽略不计。</w:t>
            </w:r>
          </w:p>
          <w:p w14:paraId="323C01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安全保护标识：仪器的高温区应有高温防烫标识。</w:t>
            </w:r>
          </w:p>
        </w:tc>
      </w:tr>
      <w:tr w14:paraId="31F3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736661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F5112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241911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3.6</w:t>
            </w:r>
          </w:p>
        </w:tc>
        <w:tc>
          <w:tcPr>
            <w:tcW w:w="6129" w:type="dxa"/>
            <w:tcBorders>
              <w:top w:val="single" w:color="auto" w:sz="4" w:space="0"/>
              <w:left w:val="single" w:color="auto" w:sz="4" w:space="0"/>
              <w:bottom w:val="single" w:color="auto" w:sz="4" w:space="0"/>
              <w:right w:val="single" w:color="auto" w:sz="4" w:space="0"/>
            </w:tcBorders>
            <w:vAlign w:val="center"/>
          </w:tcPr>
          <w:p w14:paraId="2BA0C5A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单次分析时间：不超过5min</w:t>
            </w:r>
          </w:p>
        </w:tc>
      </w:tr>
      <w:tr w14:paraId="0DF3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155629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832AA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b/>
                <w:bCs/>
                <w:color w:val="auto"/>
                <w:sz w:val="24"/>
                <w:szCs w:val="24"/>
                <w:highlight w:val="none"/>
              </w:rPr>
              <w:t>★</w:t>
            </w:r>
          </w:p>
        </w:tc>
        <w:tc>
          <w:tcPr>
            <w:tcW w:w="806" w:type="dxa"/>
            <w:tcBorders>
              <w:top w:val="single" w:color="auto" w:sz="4" w:space="0"/>
              <w:left w:val="single" w:color="auto" w:sz="4" w:space="0"/>
              <w:bottom w:val="single" w:color="auto" w:sz="4" w:space="0"/>
              <w:right w:val="single" w:color="auto" w:sz="4" w:space="0"/>
            </w:tcBorders>
            <w:vAlign w:val="center"/>
          </w:tcPr>
          <w:p w14:paraId="1B8C01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3.7</w:t>
            </w:r>
          </w:p>
        </w:tc>
        <w:tc>
          <w:tcPr>
            <w:tcW w:w="6129" w:type="dxa"/>
            <w:tcBorders>
              <w:top w:val="single" w:color="auto" w:sz="4" w:space="0"/>
              <w:left w:val="single" w:color="auto" w:sz="4" w:space="0"/>
              <w:bottom w:val="single" w:color="auto" w:sz="4" w:space="0"/>
              <w:right w:val="single" w:color="auto" w:sz="4" w:space="0"/>
            </w:tcBorders>
            <w:vAlign w:val="center"/>
          </w:tcPr>
          <w:p w14:paraId="62A254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进样方式与进样系统：</w:t>
            </w:r>
          </w:p>
          <w:p w14:paraId="225699C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采用气动进样,并且配置有不小于60位的自动进样系统</w:t>
            </w:r>
          </w:p>
        </w:tc>
      </w:tr>
      <w:tr w14:paraId="5BAE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441F4B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2E3ADA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637D53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3.8</w:t>
            </w:r>
          </w:p>
        </w:tc>
        <w:tc>
          <w:tcPr>
            <w:tcW w:w="6129" w:type="dxa"/>
            <w:tcBorders>
              <w:top w:val="single" w:color="auto" w:sz="4" w:space="0"/>
              <w:left w:val="single" w:color="auto" w:sz="4" w:space="0"/>
              <w:bottom w:val="single" w:color="auto" w:sz="4" w:space="0"/>
              <w:right w:val="single" w:color="auto" w:sz="4" w:space="0"/>
            </w:tcBorders>
            <w:vAlign w:val="center"/>
          </w:tcPr>
          <w:p w14:paraId="7EB69329">
            <w:pPr>
              <w:keepNext w:val="0"/>
              <w:keepLines w:val="0"/>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耗材寿命：</w:t>
            </w:r>
          </w:p>
          <w:p w14:paraId="5AAFE1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还原管耗材使用寿命不小于1000次，使用金属还原管，可重复利用</w:t>
            </w:r>
          </w:p>
        </w:tc>
      </w:tr>
      <w:tr w14:paraId="5186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43D2A7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678E21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1ADE3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3.9</w:t>
            </w:r>
          </w:p>
        </w:tc>
        <w:tc>
          <w:tcPr>
            <w:tcW w:w="6129" w:type="dxa"/>
            <w:tcBorders>
              <w:top w:val="single" w:color="auto" w:sz="4" w:space="0"/>
              <w:left w:val="single" w:color="auto" w:sz="4" w:space="0"/>
              <w:bottom w:val="single" w:color="auto" w:sz="4" w:space="0"/>
              <w:right w:val="single" w:color="auto" w:sz="4" w:space="0"/>
            </w:tcBorders>
            <w:vAlign w:val="center"/>
          </w:tcPr>
          <w:p w14:paraId="3FF467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二级气压稳定装置：仪器具有二级气压稳定装置，仪器除具有系统稳压装置外，需内置外部气体稳压装置，避免气瓶压力表压力变化对实验数据造成影响（提供实物图片）。</w:t>
            </w:r>
          </w:p>
        </w:tc>
      </w:tr>
      <w:tr w14:paraId="165F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bottom w:val="single" w:color="auto" w:sz="4" w:space="0"/>
              <w:right w:val="single" w:color="auto" w:sz="4" w:space="0"/>
            </w:tcBorders>
            <w:vAlign w:val="center"/>
          </w:tcPr>
          <w:p w14:paraId="0146E1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798197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542F55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3.10</w:t>
            </w:r>
          </w:p>
        </w:tc>
        <w:tc>
          <w:tcPr>
            <w:tcW w:w="6129" w:type="dxa"/>
            <w:tcBorders>
              <w:top w:val="single" w:color="auto" w:sz="4" w:space="0"/>
              <w:left w:val="single" w:color="auto" w:sz="4" w:space="0"/>
              <w:bottom w:val="single" w:color="auto" w:sz="4" w:space="0"/>
              <w:right w:val="single" w:color="auto" w:sz="4" w:space="0"/>
            </w:tcBorders>
            <w:vAlign w:val="center"/>
          </w:tcPr>
          <w:p w14:paraId="3655AA1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自动采集称量数据系统：</w:t>
            </w:r>
          </w:p>
          <w:p w14:paraId="5BFE74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仪器配置连接天平，自动采集称量数据的端口；</w:t>
            </w:r>
          </w:p>
          <w:p w14:paraId="7DAED3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有可调节大小的同步显示窗口，并提供语音报数核验</w:t>
            </w:r>
          </w:p>
        </w:tc>
      </w:tr>
      <w:tr w14:paraId="42F6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D96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27E0E2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35D571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kern w:val="2"/>
                <w:sz w:val="24"/>
                <w:szCs w:val="24"/>
                <w:highlight w:val="none"/>
                <w:lang w:val="en-US" w:eastAsia="zh-CN" w:bidi="ar-SA"/>
              </w:rPr>
              <w:t>3.11</w:t>
            </w:r>
          </w:p>
        </w:tc>
        <w:tc>
          <w:tcPr>
            <w:tcW w:w="6129" w:type="dxa"/>
            <w:tcBorders>
              <w:top w:val="single" w:color="auto" w:sz="4" w:space="0"/>
              <w:left w:val="single" w:color="auto" w:sz="4" w:space="0"/>
              <w:bottom w:val="single" w:color="auto" w:sz="4" w:space="0"/>
              <w:right w:val="single" w:color="auto" w:sz="4" w:space="0"/>
            </w:tcBorders>
            <w:vAlign w:val="center"/>
          </w:tcPr>
          <w:p w14:paraId="140CAAF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漏气检查：具备自动和手动漏气检查功能，方便用户进行仪器的气路检查；</w:t>
            </w:r>
          </w:p>
        </w:tc>
      </w:tr>
      <w:tr w14:paraId="7450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top w:val="single" w:color="auto" w:sz="4" w:space="0"/>
              <w:left w:val="single" w:color="auto" w:sz="4" w:space="0"/>
              <w:right w:val="single" w:color="auto" w:sz="4" w:space="0"/>
            </w:tcBorders>
            <w:shd w:val="clear" w:color="auto" w:fill="auto"/>
            <w:vAlign w:val="center"/>
          </w:tcPr>
          <w:p w14:paraId="1BB122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14C162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2095A0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kern w:val="2"/>
                <w:sz w:val="24"/>
                <w:szCs w:val="24"/>
                <w:highlight w:val="none"/>
                <w:lang w:val="en-US" w:eastAsia="zh-CN" w:bidi="ar-SA"/>
              </w:rPr>
              <w:t>3.12</w:t>
            </w:r>
          </w:p>
        </w:tc>
        <w:tc>
          <w:tcPr>
            <w:tcW w:w="6129" w:type="dxa"/>
            <w:tcBorders>
              <w:top w:val="single" w:color="auto" w:sz="4" w:space="0"/>
              <w:left w:val="single" w:color="auto" w:sz="4" w:space="0"/>
              <w:bottom w:val="single" w:color="auto" w:sz="4" w:space="0"/>
              <w:right w:val="single" w:color="auto" w:sz="4" w:space="0"/>
            </w:tcBorders>
            <w:vAlign w:val="center"/>
          </w:tcPr>
          <w:p w14:paraId="088DECD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除水方式：使用冷凝器除水高效除水（提供实物图片），干燥剂使用寿命不小于1000次；</w:t>
            </w:r>
          </w:p>
        </w:tc>
      </w:tr>
      <w:tr w14:paraId="6041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left w:val="single" w:color="auto" w:sz="4" w:space="0"/>
              <w:right w:val="single" w:color="auto" w:sz="4" w:space="0"/>
            </w:tcBorders>
            <w:shd w:val="clear" w:color="auto" w:fill="auto"/>
            <w:vAlign w:val="center"/>
          </w:tcPr>
          <w:p w14:paraId="35DF43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4.数据输出</w:t>
            </w:r>
          </w:p>
        </w:tc>
        <w:tc>
          <w:tcPr>
            <w:tcW w:w="754" w:type="dxa"/>
            <w:tcBorders>
              <w:top w:val="single" w:color="auto" w:sz="4" w:space="0"/>
              <w:left w:val="single" w:color="auto" w:sz="4" w:space="0"/>
              <w:bottom w:val="single" w:color="auto" w:sz="4" w:space="0"/>
              <w:right w:val="single" w:color="auto" w:sz="4" w:space="0"/>
            </w:tcBorders>
            <w:vAlign w:val="center"/>
          </w:tcPr>
          <w:p w14:paraId="41655B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w:t>
            </w:r>
          </w:p>
        </w:tc>
        <w:tc>
          <w:tcPr>
            <w:tcW w:w="806" w:type="dxa"/>
            <w:tcBorders>
              <w:top w:val="single" w:color="auto" w:sz="4" w:space="0"/>
              <w:left w:val="single" w:color="auto" w:sz="4" w:space="0"/>
              <w:bottom w:val="single" w:color="auto" w:sz="4" w:space="0"/>
              <w:right w:val="single" w:color="auto" w:sz="4" w:space="0"/>
            </w:tcBorders>
            <w:vAlign w:val="center"/>
          </w:tcPr>
          <w:p w14:paraId="1347FE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4</w:t>
            </w:r>
          </w:p>
        </w:tc>
        <w:tc>
          <w:tcPr>
            <w:tcW w:w="6129" w:type="dxa"/>
            <w:tcBorders>
              <w:top w:val="single" w:color="auto" w:sz="4" w:space="0"/>
              <w:left w:val="single" w:color="auto" w:sz="4" w:space="0"/>
              <w:bottom w:val="single" w:color="auto" w:sz="4" w:space="0"/>
              <w:right w:val="single" w:color="auto" w:sz="4" w:space="0"/>
            </w:tcBorders>
            <w:vAlign w:val="center"/>
          </w:tcPr>
          <w:p w14:paraId="177A94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实验报告能够对格式，单位名称，单位logo等进行自定义编辑。并能够通过U盘或其他方式拷贝电子版数据。</w:t>
            </w:r>
          </w:p>
        </w:tc>
      </w:tr>
      <w:tr w14:paraId="599E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left w:val="single" w:color="auto" w:sz="4" w:space="0"/>
              <w:bottom w:val="single" w:color="auto" w:sz="4" w:space="0"/>
              <w:right w:val="single" w:color="auto" w:sz="4" w:space="0"/>
            </w:tcBorders>
            <w:shd w:val="clear" w:color="auto" w:fill="auto"/>
            <w:vAlign w:val="center"/>
          </w:tcPr>
          <w:p w14:paraId="2C24C5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5.配置要求</w:t>
            </w:r>
          </w:p>
        </w:tc>
        <w:tc>
          <w:tcPr>
            <w:tcW w:w="754" w:type="dxa"/>
            <w:tcBorders>
              <w:top w:val="single" w:color="auto" w:sz="4" w:space="0"/>
              <w:left w:val="single" w:color="auto" w:sz="4" w:space="0"/>
              <w:bottom w:val="single" w:color="auto" w:sz="4" w:space="0"/>
              <w:right w:val="single" w:color="auto" w:sz="4" w:space="0"/>
            </w:tcBorders>
            <w:vAlign w:val="center"/>
          </w:tcPr>
          <w:p w14:paraId="7B8434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3B19A7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b/>
                <w:color w:val="auto"/>
                <w:sz w:val="24"/>
                <w:szCs w:val="24"/>
                <w:highlight w:val="none"/>
                <w:lang w:val="en-US" w:eastAsia="zh-CN"/>
              </w:rPr>
              <w:t>5</w:t>
            </w:r>
          </w:p>
        </w:tc>
        <w:tc>
          <w:tcPr>
            <w:tcW w:w="6129" w:type="dxa"/>
            <w:tcBorders>
              <w:top w:val="single" w:color="auto" w:sz="4" w:space="0"/>
              <w:left w:val="single" w:color="auto" w:sz="4" w:space="0"/>
              <w:bottom w:val="single" w:color="auto" w:sz="4" w:space="0"/>
              <w:right w:val="single" w:color="auto" w:sz="4" w:space="0"/>
            </w:tcBorders>
            <w:vAlign w:val="center"/>
          </w:tcPr>
          <w:p w14:paraId="1ABD1A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主机1台；</w:t>
            </w:r>
          </w:p>
          <w:p w14:paraId="1508A7A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60位单盘自动进样器 1套；（或更优）</w:t>
            </w:r>
          </w:p>
          <w:p w14:paraId="34C2E2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燃烧炉系统 1套；</w:t>
            </w:r>
          </w:p>
          <w:p w14:paraId="5A1EF0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气路系统 1套；</w:t>
            </w:r>
          </w:p>
          <w:p w14:paraId="53216EC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TCD检测器 1套；</w:t>
            </w:r>
          </w:p>
          <w:p w14:paraId="14C5ECC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 xml:space="preserve">样品检测耗材 1批次； </w:t>
            </w:r>
          </w:p>
          <w:p w14:paraId="14B566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耗材更换工具 1套；</w:t>
            </w:r>
          </w:p>
          <w:p w14:paraId="69D6BED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备用密封组件 1套；</w:t>
            </w:r>
          </w:p>
          <w:p w14:paraId="5D6BE2C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分析软件1套。</w:t>
            </w:r>
          </w:p>
        </w:tc>
      </w:tr>
      <w:tr w14:paraId="5E75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0DD947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6.资格证明</w:t>
            </w:r>
          </w:p>
        </w:tc>
        <w:tc>
          <w:tcPr>
            <w:tcW w:w="754" w:type="dxa"/>
            <w:tcBorders>
              <w:top w:val="single" w:color="auto" w:sz="4" w:space="0"/>
              <w:left w:val="single" w:color="auto" w:sz="4" w:space="0"/>
              <w:bottom w:val="single" w:color="auto" w:sz="4" w:space="0"/>
              <w:right w:val="single" w:color="auto" w:sz="4" w:space="0"/>
            </w:tcBorders>
            <w:vAlign w:val="center"/>
          </w:tcPr>
          <w:p w14:paraId="3C7DB9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w:t>
            </w:r>
          </w:p>
        </w:tc>
        <w:tc>
          <w:tcPr>
            <w:tcW w:w="806" w:type="dxa"/>
            <w:tcBorders>
              <w:top w:val="single" w:color="auto" w:sz="4" w:space="0"/>
              <w:left w:val="single" w:color="auto" w:sz="4" w:space="0"/>
              <w:bottom w:val="single" w:color="auto" w:sz="4" w:space="0"/>
              <w:right w:val="single" w:color="auto" w:sz="4" w:space="0"/>
            </w:tcBorders>
            <w:vAlign w:val="center"/>
          </w:tcPr>
          <w:p w14:paraId="26AA03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4"/>
                <w:highlight w:val="none"/>
                <w:lang w:eastAsia="zh-CN"/>
              </w:rPr>
            </w:pPr>
            <w:r>
              <w:rPr>
                <w:rFonts w:hint="eastAsia" w:ascii="方正仿宋_GB2312" w:hAnsi="方正仿宋_GB2312" w:eastAsia="方正仿宋_GB2312" w:cs="方正仿宋_GB2312"/>
                <w:b/>
                <w:color w:val="auto"/>
                <w:sz w:val="24"/>
                <w:szCs w:val="24"/>
                <w:highlight w:val="none"/>
                <w:lang w:val="en-US" w:eastAsia="zh-CN"/>
              </w:rPr>
              <w:t>6</w:t>
            </w:r>
          </w:p>
        </w:tc>
        <w:tc>
          <w:tcPr>
            <w:tcW w:w="6129" w:type="dxa"/>
            <w:tcBorders>
              <w:top w:val="single" w:color="auto" w:sz="4" w:space="0"/>
              <w:left w:val="single" w:color="auto" w:sz="4" w:space="0"/>
              <w:bottom w:val="single" w:color="auto" w:sz="4" w:space="0"/>
              <w:right w:val="single" w:color="auto" w:sz="4" w:space="0"/>
            </w:tcBorders>
            <w:vAlign w:val="center"/>
          </w:tcPr>
          <w:p w14:paraId="7AF526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操作软件权属清晰，工作站软件在官方已登记（提供软件著作权登记证书）；</w:t>
            </w:r>
          </w:p>
          <w:p w14:paraId="229BBD6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方正仿宋_GB2312" w:hAnsi="方正仿宋_GB2312" w:eastAsia="方正仿宋_GB2312" w:cs="方正仿宋_GB2312"/>
                <w:bCs/>
                <w:color w:val="auto"/>
                <w:kern w:val="0"/>
                <w:sz w:val="24"/>
                <w:szCs w:val="24"/>
                <w:highlight w:val="none"/>
              </w:rPr>
            </w:pPr>
            <w:r>
              <w:rPr>
                <w:rFonts w:hint="eastAsia" w:ascii="方正仿宋_GB2312" w:hAnsi="方正仿宋_GB2312" w:eastAsia="方正仿宋_GB2312" w:cs="方正仿宋_GB2312"/>
                <w:b w:val="0"/>
                <w:bCs/>
                <w:color w:val="auto"/>
                <w:sz w:val="24"/>
                <w:szCs w:val="24"/>
                <w:highlight w:val="none"/>
                <w:lang w:val="en-US" w:eastAsia="zh-CN"/>
              </w:rPr>
              <w:t>提供同型号产品近两年在省级及以上计量院校准证书。（提供证明文件）</w:t>
            </w:r>
          </w:p>
        </w:tc>
      </w:tr>
    </w:tbl>
    <w:p w14:paraId="0872ADED">
      <w:pPr>
        <w:numPr>
          <w:ilvl w:val="0"/>
          <w:numId w:val="1"/>
        </w:numPr>
        <w:ind w:left="208" w:firstLine="422" w:firstLineChars="0"/>
        <w:rPr>
          <w:rFonts w:hint="eastAsia" w:ascii="仿宋_GB2312" w:hAnsi="仿宋_GB2312" w:eastAsia="仿宋_GB2312" w:cs="仿宋_GB2312"/>
          <w:b/>
          <w:kern w:val="0"/>
          <w:sz w:val="24"/>
          <w:szCs w:val="28"/>
          <w:highlight w:val="none"/>
          <w:lang w:val="en-US" w:eastAsia="zh-CN"/>
        </w:rPr>
      </w:pPr>
      <w:r>
        <w:rPr>
          <w:rFonts w:hint="eastAsia" w:ascii="仿宋_GB2312" w:hAnsi="仿宋_GB2312" w:eastAsia="仿宋_GB2312" w:cs="仿宋_GB2312"/>
          <w:b/>
          <w:kern w:val="0"/>
          <w:sz w:val="24"/>
          <w:szCs w:val="28"/>
          <w:highlight w:val="none"/>
          <w:lang w:val="en-US" w:eastAsia="zh-CN"/>
        </w:rPr>
        <w:t>服务要求</w:t>
      </w:r>
    </w:p>
    <w:p w14:paraId="48A1B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2.1供应商在四川境内应有专门负责的经验丰富的维修工程师和专门的技术应用支持工程师。</w:t>
      </w:r>
    </w:p>
    <w:p w14:paraId="40FDBA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2.2供应商协助我司进行安装前的准备工作，提供相关的布局图和设计要求，提供实验室建设安装资料并作相应的指导。</w:t>
      </w:r>
    </w:p>
    <w:p w14:paraId="31D2AA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2.3到货后，供应商免费提供全面安装工具、并由仪器工程师免费安装。仪器安装后，安装工程师为用户进行现场培训。</w:t>
      </w:r>
    </w:p>
    <w:p w14:paraId="3705C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2.4供应商为用户提供2人的仪器全面培训。</w:t>
      </w:r>
    </w:p>
    <w:p w14:paraId="026AA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★2.5安装验收后一年内，备注整机及非易消耗零部件均免费保修12个月并负责安装。</w:t>
      </w:r>
    </w:p>
    <w:p w14:paraId="3EB9A4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2.6如果仪器出现故障，在接到我司维修服务的请求后，供应商工程师应在2小时内作出应答，进行电话指导、网上诊断协助排除故障。必要时，在48小时内到达现场。</w:t>
      </w:r>
    </w:p>
    <w:p w14:paraId="685B3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2.7提供配套的调试工具和其他专用工具，提供全套仪器操作说明书。</w:t>
      </w:r>
    </w:p>
    <w:p w14:paraId="799D2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★2.8验收时、供应商需提供仪器设备的计量/校准报告。</w:t>
      </w:r>
    </w:p>
    <w:p w14:paraId="7A1CE9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p>
    <w:p w14:paraId="15003E19">
      <w:pPr>
        <w:numPr>
          <w:ilvl w:val="0"/>
          <w:numId w:val="1"/>
        </w:numPr>
        <w:ind w:left="208" w:firstLine="422" w:firstLineChars="0"/>
        <w:rPr>
          <w:rFonts w:hint="eastAsia" w:ascii="仿宋_GB2312" w:hAnsi="仿宋_GB2312" w:eastAsia="仿宋_GB2312" w:cs="仿宋_GB2312"/>
          <w:b/>
          <w:kern w:val="0"/>
          <w:sz w:val="24"/>
          <w:szCs w:val="28"/>
          <w:highlight w:val="none"/>
          <w:lang w:val="en-US" w:eastAsia="zh-CN"/>
        </w:rPr>
      </w:pPr>
      <w:r>
        <w:rPr>
          <w:rFonts w:hint="eastAsia" w:ascii="仿宋_GB2312" w:hAnsi="仿宋_GB2312" w:eastAsia="仿宋_GB2312" w:cs="仿宋_GB2312"/>
          <w:bCs/>
          <w:i w:val="0"/>
          <w:iCs w:val="0"/>
          <w:kern w:val="0"/>
          <w:sz w:val="24"/>
          <w:szCs w:val="28"/>
          <w:highlight w:val="none"/>
          <w:u w:val="none"/>
          <w:lang w:val="en-US" w:eastAsia="zh-CN" w:bidi="ar-SA"/>
        </w:rPr>
        <w:t>★</w:t>
      </w:r>
      <w:r>
        <w:rPr>
          <w:rFonts w:hint="eastAsia" w:ascii="仿宋_GB2312" w:hAnsi="仿宋_GB2312" w:eastAsia="仿宋_GB2312" w:cs="仿宋_GB2312"/>
          <w:b/>
          <w:kern w:val="0"/>
          <w:sz w:val="24"/>
          <w:szCs w:val="28"/>
          <w:highlight w:val="none"/>
          <w:lang w:val="en-US" w:eastAsia="zh-CN"/>
        </w:rPr>
        <w:t>商务要求</w:t>
      </w:r>
    </w:p>
    <w:p w14:paraId="3262C98E">
      <w:pPr>
        <w:pStyle w:val="2"/>
        <w:pageBreakBefore w:val="0"/>
        <w:widowControl w:val="0"/>
        <w:kinsoku/>
        <w:overflowPunct/>
        <w:topLinePunct w:val="0"/>
        <w:autoSpaceDE/>
        <w:autoSpaceDN/>
        <w:bidi w:val="0"/>
        <w:spacing w:after="0" w:line="56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24"/>
          <w:szCs w:val="24"/>
          <w:highlight w:val="none"/>
          <w14:textFill>
            <w14:solidFill>
              <w14:schemeClr w14:val="tx1"/>
            </w14:solidFill>
          </w14:textFill>
        </w:rPr>
        <w:t>交货期限：合同签订</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之日起算15</w:t>
      </w:r>
      <w:r>
        <w:rPr>
          <w:rFonts w:hint="eastAsia" w:ascii="仿宋_GB2312" w:hAnsi="仿宋_GB2312" w:eastAsia="仿宋_GB2312" w:cs="仿宋_GB2312"/>
          <w:color w:val="000000" w:themeColor="text1"/>
          <w:sz w:val="24"/>
          <w:szCs w:val="24"/>
          <w:highlight w:val="none"/>
          <w14:textFill>
            <w14:solidFill>
              <w14:schemeClr w14:val="tx1"/>
            </w14:solidFill>
          </w14:textFill>
        </w:rPr>
        <w:t>天（自然日）内到货，并提供免费安装、调测、培训，完成后交付采购人使用。</w:t>
      </w:r>
      <w:r>
        <w:rPr>
          <w:rFonts w:hint="eastAsia" w:ascii="仿宋_GB2312" w:hAnsi="仿宋_GB2312" w:eastAsia="仿宋_GB2312" w:cs="仿宋_GB2312"/>
          <w:bCs/>
          <w:i w:val="0"/>
          <w:iCs w:val="0"/>
          <w:kern w:val="0"/>
          <w:sz w:val="24"/>
          <w:szCs w:val="28"/>
          <w:highlight w:val="none"/>
          <w:u w:val="none"/>
          <w:lang w:val="en-US" w:eastAsia="zh-CN" w:bidi="ar-SA"/>
        </w:rPr>
        <w:t>如出现未能到期供货的情况，采购人有权单方终止合同的执行，所有的经济损失由逾期中选人单方承担。</w:t>
      </w:r>
    </w:p>
    <w:p w14:paraId="051E9FE4">
      <w:pPr>
        <w:pStyle w:val="2"/>
        <w:pageBreakBefore w:val="0"/>
        <w:widowControl w:val="0"/>
        <w:kinsoku/>
        <w:overflowPunct/>
        <w:topLinePunct w:val="0"/>
        <w:autoSpaceDE/>
        <w:autoSpaceDN/>
        <w:bidi w:val="0"/>
        <w:spacing w:after="0" w:line="560" w:lineRule="exact"/>
        <w:ind w:firstLine="480" w:firstLineChars="200"/>
        <w:outlineLvl w:val="2"/>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24"/>
          <w:szCs w:val="24"/>
          <w:highlight w:val="none"/>
          <w14:textFill>
            <w14:solidFill>
              <w14:schemeClr w14:val="tx1"/>
            </w14:solidFill>
          </w14:textFill>
        </w:rPr>
        <w:t>交货地点：采购人指定地点。</w:t>
      </w:r>
    </w:p>
    <w:p w14:paraId="0D38F9FF">
      <w:pPr>
        <w:pStyle w:val="3"/>
        <w:pageBreakBefore w:val="0"/>
        <w:widowControl w:val="0"/>
        <w:tabs>
          <w:tab w:val="left" w:pos="0"/>
        </w:tabs>
        <w:kinsoku/>
        <w:overflowPunct/>
        <w:topLinePunct w:val="0"/>
        <w:autoSpaceDE/>
        <w:autoSpaceDN/>
        <w:bidi w:val="0"/>
        <w:spacing w:line="56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z w:val="24"/>
          <w:szCs w:val="24"/>
          <w:highlight w:val="none"/>
          <w14:textFill>
            <w14:solidFill>
              <w14:schemeClr w14:val="tx1"/>
            </w14:solidFill>
          </w14:textFill>
        </w:rPr>
        <w:t>付款方式：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预付30%，验收付65%，质保金5%，</w:t>
      </w:r>
      <w:r>
        <w:rPr>
          <w:rFonts w:hint="eastAsia" w:ascii="仿宋_GB2312" w:hAnsi="仿宋_GB2312" w:eastAsia="仿宋_GB2312" w:cs="仿宋_GB2312"/>
          <w:color w:val="000000" w:themeColor="text1"/>
          <w:szCs w:val="24"/>
          <w:highlight w:val="none"/>
          <w14:textFill>
            <w14:solidFill>
              <w14:schemeClr w14:val="tx1"/>
            </w14:solidFill>
          </w14:textFill>
        </w:rPr>
        <w:t>质保期满后支付或验收完成后一同支付，但须供应商提供其</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开户</w:t>
      </w:r>
      <w:r>
        <w:rPr>
          <w:rFonts w:hint="eastAsia" w:ascii="仿宋_GB2312" w:hAnsi="仿宋_GB2312" w:eastAsia="仿宋_GB2312" w:cs="仿宋_GB2312"/>
          <w:color w:val="000000" w:themeColor="text1"/>
          <w:szCs w:val="24"/>
          <w:highlight w:val="none"/>
          <w14:textFill>
            <w14:solidFill>
              <w14:schemeClr w14:val="tx1"/>
            </w14:solidFill>
          </w14:textFill>
        </w:rPr>
        <w:t>银行出具履约质保保函，有效期覆盖质保期届满</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中</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z w:val="24"/>
          <w:szCs w:val="24"/>
          <w:highlight w:val="none"/>
          <w14:textFill>
            <w14:solidFill>
              <w14:schemeClr w14:val="tx1"/>
            </w14:solidFill>
          </w14:textFill>
        </w:rPr>
        <w:t>人须向采购人提供合法合规的等额发票及采购人付款所需资料，否则，由此造成的责任、损失由中</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z w:val="24"/>
          <w:szCs w:val="24"/>
          <w:highlight w:val="none"/>
          <w14:textFill>
            <w14:solidFill>
              <w14:schemeClr w14:val="tx1"/>
            </w14:solidFill>
          </w14:textFill>
        </w:rPr>
        <w:t>人自行承担。</w:t>
      </w:r>
    </w:p>
    <w:p w14:paraId="3B16595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7C3B548-9334-43E8-B7D6-8D71570F7A85}"/>
  </w:font>
  <w:font w:name="仿宋_GB2312">
    <w:panose1 w:val="02010609030101010101"/>
    <w:charset w:val="86"/>
    <w:family w:val="modern"/>
    <w:pitch w:val="default"/>
    <w:sig w:usb0="00000001" w:usb1="080E0000" w:usb2="00000000" w:usb3="00000000" w:csb0="00040000" w:csb1="00000000"/>
    <w:embedRegular r:id="rId2" w:fontKey="{B16B85B5-DC62-49AF-AE34-1AE16607FD67}"/>
  </w:font>
  <w:font w:name="方正仿宋_GB2312">
    <w:panose1 w:val="02000000000000000000"/>
    <w:charset w:val="86"/>
    <w:family w:val="auto"/>
    <w:pitch w:val="default"/>
    <w:sig w:usb0="A00002BF" w:usb1="184F6CFA" w:usb2="00000012" w:usb3="00000000" w:csb0="00040001" w:csb1="00000000"/>
    <w:embedRegular r:id="rId3" w:fontKey="{E148DCD6-1331-4C5F-A8F9-ABC31EDE496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96F46"/>
    <w:multiLevelType w:val="singleLevel"/>
    <w:tmpl w:val="50F96F4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3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qFormat/>
    <w:uiPriority w:val="0"/>
    <w:rPr>
      <w:rFonts w:ascii="宋体" w:hAnsi="Courier New"/>
      <w:sz w:val="24"/>
      <w:szCs w:val="20"/>
    </w:rPr>
  </w:style>
  <w:style w:type="character" w:customStyle="1" w:styleId="6">
    <w:name w:val="font4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2026-03-05T01:37:07Z</dcterms:created>
  <dc:creator>123</dc:creator>
  <cp:lastModifiedBy>陈玉梅</cp:lastModifiedBy>
  <dcterms:modified xsi:type="dcterms:W3CDTF">2026-03-05T01:38:48Z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eyJoZGlkIjoiMTU1Mjc5ZGZhYjY1MzliNDhiYjNhMDg4ZmU1OGZkMTkiLCJ1c2VySWQiOiIyNTk4Nzg5MDgifQ==</vt:lpwstr>
  </property>
  <property fmtid="{D5CDD505-2E9C-101B-9397-08002B2CF9AE}" pid="4" name="ICV">
    <vt:lpwstr>FC1E63C52FA248DCB7DDA7DC7FC44219_12</vt:lpwstr>
  </property>
</Properties>
</file>